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C3" w:rsidRDefault="00BC00C3" w:rsidP="00BC00C3">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29 veintinueve de junio del año 2017 dos mil diecisiete. .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xml:space="preserve">. . </w:t>
      </w:r>
    </w:p>
    <w:p w:rsidR="00BC00C3" w:rsidRDefault="00BC00C3" w:rsidP="00BC00C3">
      <w:pPr>
        <w:rPr>
          <w:rFonts w:ascii="Calibri" w:hAnsi="Calibri" w:cs="Calibri"/>
          <w:color w:val="7F7F7F" w:themeColor="text1" w:themeTint="80"/>
          <w:sz w:val="26"/>
          <w:szCs w:val="26"/>
          <w:lang w:val="es-MX"/>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0302/2do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BC00C3" w:rsidRDefault="00BC00C3" w:rsidP="00BC00C3">
      <w:pPr>
        <w:pStyle w:val="Textoindependiente"/>
        <w:rPr>
          <w:rFonts w:ascii="Calibri" w:hAnsi="Calibri" w:cs="Calibri"/>
          <w:color w:val="7F7F7F" w:themeColor="text1" w:themeTint="80"/>
          <w:sz w:val="26"/>
          <w:szCs w:val="26"/>
        </w:rPr>
      </w:pPr>
    </w:p>
    <w:p w:rsidR="00BC00C3" w:rsidRDefault="00BC00C3" w:rsidP="00BC00C3">
      <w:pPr>
        <w:pStyle w:val="Textoindependiente"/>
        <w:rPr>
          <w:rFonts w:ascii="Calibri" w:hAnsi="Calibri" w:cs="Calibri"/>
          <w:color w:val="7F7F7F" w:themeColor="text1" w:themeTint="80"/>
          <w:sz w:val="26"/>
          <w:szCs w:val="26"/>
        </w:rPr>
      </w:pPr>
    </w:p>
    <w:p w:rsidR="00BC00C3" w:rsidRDefault="00BC00C3" w:rsidP="00BC00C3">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BC00C3" w:rsidRDefault="00BC00C3" w:rsidP="00BC00C3">
      <w:pPr>
        <w:pStyle w:val="Textoindependiente"/>
        <w:ind w:firstLine="708"/>
        <w:jc w:val="center"/>
        <w:rPr>
          <w:rFonts w:ascii="Calibri" w:hAnsi="Calibri" w:cs="Calibri"/>
          <w:b/>
          <w:bCs/>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17 diecisiete de enero del año en curso, sin que de las constancias de la presente causa administrativa se desprenda lo contrario. . . . . . . . . . . . . . . . . . . . . . . . . . . . . . . . . . . . . . . . . . . . . . . . . . </w:t>
      </w:r>
    </w:p>
    <w:p w:rsidR="00BC00C3" w:rsidRDefault="00BC00C3" w:rsidP="00BC00C3">
      <w:pPr>
        <w:jc w:val="both"/>
        <w:rPr>
          <w:rFonts w:ascii="Calibri" w:hAnsi="Calibri" w:cs="Calibri"/>
          <w:b/>
          <w:i/>
          <w:iCs/>
          <w:color w:val="7F7F7F" w:themeColor="text1" w:themeTint="80"/>
          <w:sz w:val="26"/>
          <w:szCs w:val="26"/>
          <w:lang w:val="es-MX"/>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360758 (tres-seis-cero-siete-cinco-ocho), de fecha 17 diecisiete de enero del año 2017 dos mil diecisiete; documento que, admitido como prueba a las partes (visible a foja 10 diez), merece pleno valor probatorio, conforme lo dispuesto en los artículos 78, 81, 117, 118, 121 y 131 del Código de Procedimiento y Justicia Administrativa para el </w:t>
      </w:r>
    </w:p>
    <w:p w:rsidR="00BC00C3" w:rsidRDefault="00BC00C3" w:rsidP="00BC00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0302/2do JAM/2017-JN</w:t>
      </w:r>
    </w:p>
    <w:p w:rsidR="00BC00C3" w:rsidRDefault="00BC00C3" w:rsidP="00BC00C3">
      <w:pPr>
        <w:jc w:val="both"/>
        <w:rPr>
          <w:rFonts w:ascii="Calibri" w:hAnsi="Calibri" w:cs="Calibri"/>
          <w:color w:val="7F7F7F" w:themeColor="text1" w:themeTint="80"/>
          <w:sz w:val="26"/>
          <w:szCs w:val="26"/>
        </w:rPr>
      </w:pPr>
    </w:p>
    <w:p w:rsidR="00BC00C3" w:rsidRDefault="00BC00C3" w:rsidP="00BC00C3">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BC00C3" w:rsidRDefault="00BC00C3" w:rsidP="00BC00C3">
      <w:pPr>
        <w:jc w:val="both"/>
        <w:rPr>
          <w:rFonts w:ascii="Calibri" w:hAnsi="Calibri" w:cs="Calibri"/>
          <w:color w:val="7F7F7F" w:themeColor="text1" w:themeTint="80"/>
          <w:sz w:val="26"/>
          <w:szCs w:val="26"/>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BC00C3" w:rsidRDefault="00BC00C3" w:rsidP="00BC00C3">
      <w:pPr>
        <w:ind w:firstLine="708"/>
        <w:jc w:val="both"/>
        <w:rPr>
          <w:rFonts w:ascii="Calibri" w:hAnsi="Calibri" w:cs="Calibri"/>
          <w:b/>
          <w:bCs/>
          <w:i/>
          <w:iCs/>
          <w:color w:val="7F7F7F" w:themeColor="text1" w:themeTint="80"/>
          <w:sz w:val="26"/>
          <w:szCs w:val="26"/>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BC00C3" w:rsidRDefault="00BC00C3" w:rsidP="00BC00C3">
      <w:pPr>
        <w:ind w:firstLine="708"/>
        <w:jc w:val="right"/>
        <w:rPr>
          <w:rFonts w:ascii="Calibri" w:hAnsi="Calibri" w:cs="Calibri"/>
          <w:b/>
          <w:color w:val="7F7F7F" w:themeColor="text1" w:themeTint="80"/>
          <w:sz w:val="26"/>
          <w:szCs w:val="26"/>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BC00C3" w:rsidRDefault="00BC00C3" w:rsidP="00BC00C3">
      <w:pPr>
        <w:ind w:firstLine="708"/>
        <w:jc w:val="both"/>
        <w:rPr>
          <w:rFonts w:ascii="Calibri" w:hAnsi="Calibri" w:cs="Calibri"/>
          <w:color w:val="7F7F7F" w:themeColor="text1" w:themeTint="80"/>
          <w:sz w:val="26"/>
          <w:szCs w:val="26"/>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4 cuatro a la 9 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BC00C3" w:rsidRDefault="00BC00C3" w:rsidP="00BC00C3">
      <w:pPr>
        <w:jc w:val="both"/>
        <w:rPr>
          <w:rFonts w:ascii="Calibri" w:hAnsi="Calibri" w:cs="Calibri"/>
          <w:b/>
          <w:bCs/>
          <w:i/>
          <w:iCs/>
          <w:color w:val="7F7F7F" w:themeColor="text1" w:themeTint="80"/>
          <w:sz w:val="26"/>
          <w:szCs w:val="26"/>
        </w:rPr>
      </w:pPr>
    </w:p>
    <w:p w:rsidR="00BC00C3" w:rsidRDefault="00BC00C3" w:rsidP="00BC00C3">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BC00C3" w:rsidRDefault="00BC00C3" w:rsidP="00BC00C3">
      <w:pPr>
        <w:jc w:val="both"/>
        <w:rPr>
          <w:rFonts w:ascii="Calibri" w:hAnsi="Calibri" w:cs="Calibri"/>
          <w:b/>
          <w:bCs/>
          <w:i/>
          <w:iCs/>
          <w:color w:val="7F7F7F" w:themeColor="text1" w:themeTint="80"/>
          <w:sz w:val="26"/>
          <w:szCs w:val="26"/>
        </w:rPr>
      </w:pPr>
    </w:p>
    <w:p w:rsidR="00BC00C3" w:rsidRDefault="00BC00C3" w:rsidP="00BC00C3">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Pr>
          <w:rFonts w:ascii="Calibri" w:hAnsi="Calibri" w:cs="Calibri"/>
          <w:bCs/>
          <w:iCs/>
          <w:color w:val="7F7F7F" w:themeColor="text1" w:themeTint="80"/>
          <w:sz w:val="26"/>
          <w:szCs w:val="26"/>
        </w:rPr>
        <w:lastRenderedPageBreak/>
        <w:t xml:space="preserve">los intereses jurídicos de la actora, configurándose el supuesto previsto en la fracción I del artículo 261 del Código antedicho. . . . . . . . . . . . . . . . . . . . . . . . . . . </w:t>
      </w:r>
    </w:p>
    <w:p w:rsidR="00BC00C3" w:rsidRDefault="00BC00C3" w:rsidP="00BC00C3">
      <w:pPr>
        <w:pStyle w:val="Sangradetextonormal"/>
        <w:ind w:left="0" w:firstLine="708"/>
        <w:jc w:val="both"/>
        <w:rPr>
          <w:rFonts w:ascii="Calibri" w:hAnsi="Calibri" w:cs="Calibri"/>
          <w:bCs/>
          <w:iCs/>
          <w:color w:val="7F7F7F" w:themeColor="text1" w:themeTint="80"/>
          <w:sz w:val="26"/>
          <w:szCs w:val="26"/>
        </w:rPr>
      </w:pPr>
    </w:p>
    <w:p w:rsidR="00BC00C3" w:rsidRDefault="00BC00C3" w:rsidP="00BC00C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BC00C3" w:rsidRDefault="00BC00C3" w:rsidP="00BC00C3">
      <w:pPr>
        <w:pStyle w:val="Sangradetextonormal"/>
        <w:ind w:left="0" w:firstLine="708"/>
        <w:jc w:val="both"/>
        <w:rPr>
          <w:rFonts w:ascii="Calibri" w:hAnsi="Calibri" w:cs="Calibri"/>
          <w:bCs/>
          <w:iCs/>
          <w:color w:val="7F7F7F" w:themeColor="text1" w:themeTint="80"/>
          <w:sz w:val="26"/>
          <w:szCs w:val="26"/>
        </w:rPr>
      </w:pPr>
    </w:p>
    <w:p w:rsidR="00BC00C3" w:rsidRDefault="00BC00C3" w:rsidP="00BC00C3">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BC00C3" w:rsidRDefault="00BC00C3" w:rsidP="00BC00C3">
      <w:pPr>
        <w:jc w:val="both"/>
        <w:rPr>
          <w:rFonts w:ascii="Calibri" w:hAnsi="Calibri" w:cs="Calibri"/>
          <w:b/>
          <w:bCs/>
          <w:i/>
          <w:iCs/>
          <w:color w:val="7F7F7F" w:themeColor="text1" w:themeTint="80"/>
          <w:sz w:val="26"/>
          <w:szCs w:val="26"/>
          <w:lang w:val="es-MX"/>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C00C3" w:rsidRDefault="00BC00C3" w:rsidP="00BC00C3">
      <w:pPr>
        <w:ind w:firstLine="708"/>
        <w:jc w:val="both"/>
        <w:rPr>
          <w:rFonts w:ascii="Calibri" w:hAnsi="Calibri" w:cs="Calibri"/>
          <w:color w:val="7F7F7F" w:themeColor="text1" w:themeTint="80"/>
          <w:sz w:val="26"/>
          <w:szCs w:val="26"/>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17 diecisiete de enero del año 2017 dos mil diecisiete, en el lugar que identificó como: </w:t>
      </w:r>
      <w:r>
        <w:rPr>
          <w:rFonts w:ascii="Calibri" w:hAnsi="Calibri" w:cs="Calibri"/>
          <w:i/>
          <w:iCs/>
          <w:color w:val="7F7F7F" w:themeColor="text1" w:themeTint="80"/>
          <w:sz w:val="26"/>
          <w:szCs w:val="26"/>
        </w:rPr>
        <w:t>“Terminal de Transferencia Norte”</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360758 (tres-seis-cero-siete-cinco-ocho), en  la  que  señaló  como concepto de la </w:t>
      </w:r>
    </w:p>
    <w:p w:rsidR="00BC00C3" w:rsidRDefault="00BC00C3" w:rsidP="00BC00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0302/2do JAM/2017-JN</w:t>
      </w:r>
    </w:p>
    <w:p w:rsidR="00BC00C3" w:rsidRDefault="00BC00C3" w:rsidP="00BC00C3">
      <w:pPr>
        <w:jc w:val="both"/>
        <w:rPr>
          <w:rFonts w:ascii="Calibri" w:hAnsi="Calibri" w:cs="Calibri"/>
          <w:color w:val="7F7F7F" w:themeColor="text1" w:themeTint="80"/>
          <w:sz w:val="26"/>
          <w:szCs w:val="26"/>
        </w:rPr>
      </w:pPr>
    </w:p>
    <w:p w:rsidR="00BC00C3" w:rsidRDefault="00BC00C3" w:rsidP="00BC00C3">
      <w:pPr>
        <w:jc w:val="both"/>
        <w:rPr>
          <w:rFonts w:ascii="Calibri" w:hAnsi="Calibri" w:cs="Calibri"/>
          <w:i/>
          <w:color w:val="7F7F7F" w:themeColor="text1" w:themeTint="80"/>
          <w:sz w:val="26"/>
          <w:szCs w:val="26"/>
        </w:rPr>
      </w:pPr>
      <w:proofErr w:type="gramStart"/>
      <w:r>
        <w:rPr>
          <w:rFonts w:ascii="Calibri" w:hAnsi="Calibri" w:cs="Calibri"/>
          <w:color w:val="7F7F7F" w:themeColor="text1" w:themeTint="80"/>
          <w:sz w:val="26"/>
          <w:szCs w:val="26"/>
        </w:rPr>
        <w:t>infracción</w:t>
      </w:r>
      <w:proofErr w:type="gramEnd"/>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“Por no cumplir con horarios, rutas, itinerarios y frecuencias autorizadas por la dirección en la prestación del servicio. (Me constituí en……..el horario de las </w:t>
      </w:r>
      <w:r>
        <w:rPr>
          <w:rFonts w:ascii="Calibri" w:hAnsi="Calibri" w:cs="Calibri"/>
          <w:i/>
          <w:color w:val="7F7F7F" w:themeColor="text1" w:themeTint="80"/>
          <w:sz w:val="26"/>
          <w:szCs w:val="26"/>
        </w:rPr>
        <w:lastRenderedPageBreak/>
        <w:t xml:space="preserve">22:30 a 23:00…….detectando que se incumple con el despacho n° 211 programado a las 23:00 no prestándolo ningún camión)”,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 domicilio: Francisco Mena #101 San Jerónimo”</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 . . . . . . . . . . . . . . . . . . . . . . . . . . . </w:t>
      </w:r>
    </w:p>
    <w:p w:rsidR="00BC00C3" w:rsidRDefault="00BC00C3" w:rsidP="00BC00C3">
      <w:pPr>
        <w:pStyle w:val="Textoindependiente"/>
        <w:tabs>
          <w:tab w:val="left" w:pos="3594"/>
        </w:tabs>
        <w:rPr>
          <w:rFonts w:ascii="Calibri" w:hAnsi="Calibri" w:cs="Calibri"/>
          <w:color w:val="7F7F7F" w:themeColor="text1" w:themeTint="80"/>
          <w:sz w:val="26"/>
          <w:szCs w:val="26"/>
          <w:lang w:val="es-ES"/>
        </w:rPr>
      </w:pPr>
    </w:p>
    <w:p w:rsidR="00BC00C3" w:rsidRDefault="00BC00C3" w:rsidP="00BC00C3">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BC00C3" w:rsidRDefault="00BC00C3" w:rsidP="00BC00C3">
      <w:pPr>
        <w:pStyle w:val="Textoindependiente"/>
        <w:tabs>
          <w:tab w:val="left" w:pos="3594"/>
        </w:tabs>
        <w:rPr>
          <w:rFonts w:ascii="Calibri" w:hAnsi="Calibri" w:cs="Calibri"/>
          <w:iCs/>
          <w:color w:val="7F7F7F" w:themeColor="text1" w:themeTint="80"/>
          <w:sz w:val="26"/>
          <w:szCs w:val="26"/>
        </w:rPr>
      </w:pPr>
    </w:p>
    <w:p w:rsidR="00BC00C3" w:rsidRDefault="00BC00C3" w:rsidP="00BC00C3">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BC00C3" w:rsidRDefault="00BC00C3" w:rsidP="00BC00C3">
      <w:pPr>
        <w:pStyle w:val="Textoindependiente"/>
        <w:tabs>
          <w:tab w:val="left" w:pos="3594"/>
        </w:tabs>
        <w:rPr>
          <w:rFonts w:ascii="Calibri" w:hAnsi="Calibri" w:cs="Calibri"/>
          <w:iCs/>
          <w:color w:val="7F7F7F" w:themeColor="text1" w:themeTint="80"/>
          <w:sz w:val="26"/>
          <w:szCs w:val="26"/>
        </w:rPr>
      </w:pPr>
    </w:p>
    <w:p w:rsidR="00BC00C3" w:rsidRDefault="00BC00C3" w:rsidP="00BC00C3">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360758 (tres-seis-cero-siete-cinco-ocho), de fecha 17 diecisiete de enero del año 2017 dos mil diecisiete y la procedencia o improcedencia de sus pretensiones. . . . . . . . . . . . . . . . . . . . . . . . . . . </w:t>
      </w:r>
    </w:p>
    <w:p w:rsidR="00BC00C3" w:rsidRDefault="00BC00C3" w:rsidP="00BC00C3">
      <w:pPr>
        <w:pStyle w:val="Textoindependiente"/>
        <w:tabs>
          <w:tab w:val="left" w:pos="3594"/>
        </w:tabs>
        <w:rPr>
          <w:color w:val="7F7F7F" w:themeColor="text1" w:themeTint="80"/>
          <w:sz w:val="22"/>
        </w:rPr>
      </w:pPr>
    </w:p>
    <w:p w:rsidR="00BC00C3" w:rsidRDefault="00BC00C3" w:rsidP="00BC00C3">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C00C3" w:rsidRDefault="00BC00C3" w:rsidP="00BC00C3">
      <w:pPr>
        <w:ind w:firstLine="708"/>
        <w:jc w:val="both"/>
        <w:rPr>
          <w:color w:val="7F7F7F" w:themeColor="text1" w:themeTint="80"/>
          <w:lang w:val="es-MX"/>
        </w:rPr>
      </w:pPr>
    </w:p>
    <w:p w:rsidR="00BC00C3" w:rsidRDefault="00BC00C3" w:rsidP="00BC00C3">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C00C3" w:rsidRDefault="00BC00C3" w:rsidP="00BC00C3">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BC00C3" w:rsidRDefault="00BC00C3" w:rsidP="00BC00C3">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lastRenderedPageBreak/>
        <w:t xml:space="preserve">Así las cosas, en el señalado concepto de impugnación, la impetrante expuso: </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BC00C3" w:rsidRDefault="00BC00C3" w:rsidP="00BC00C3">
      <w:pPr>
        <w:ind w:firstLine="708"/>
        <w:jc w:val="both"/>
        <w:rPr>
          <w:rFonts w:ascii="Calibri" w:hAnsi="Calibri" w:cs="Calibri"/>
          <w:iCs/>
          <w:color w:val="7F7F7F" w:themeColor="text1" w:themeTint="80"/>
          <w:sz w:val="26"/>
          <w:szCs w:val="26"/>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BC00C3" w:rsidRDefault="00BC00C3" w:rsidP="00BC00C3">
      <w:pPr>
        <w:jc w:val="both"/>
        <w:rPr>
          <w:rFonts w:ascii="Calibri" w:hAnsi="Calibri" w:cs="Calibri"/>
          <w:bCs/>
          <w:color w:val="7F7F7F" w:themeColor="text1" w:themeTint="80"/>
          <w:sz w:val="26"/>
          <w:szCs w:val="26"/>
        </w:rPr>
      </w:pPr>
    </w:p>
    <w:p w:rsidR="00BC00C3" w:rsidRDefault="00BC00C3" w:rsidP="00BC00C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360758 (tres-seis-cero-siete-cinco-ocho), de fecha 17 diecisiete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BC00C3" w:rsidRDefault="00BC00C3" w:rsidP="00BC00C3">
      <w:pPr>
        <w:jc w:val="both"/>
        <w:rPr>
          <w:rFonts w:ascii="Calibri" w:hAnsi="Calibri" w:cs="Calibri"/>
          <w:bCs/>
          <w:color w:val="7F7F7F" w:themeColor="text1" w:themeTint="80"/>
          <w:sz w:val="20"/>
          <w:szCs w:val="20"/>
        </w:rPr>
      </w:pPr>
    </w:p>
    <w:p w:rsidR="00BC00C3" w:rsidRDefault="00BC00C3" w:rsidP="00BC00C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BC00C3" w:rsidRDefault="00BC00C3" w:rsidP="00BC00C3">
      <w:pPr>
        <w:ind w:firstLine="708"/>
        <w:jc w:val="both"/>
        <w:rPr>
          <w:rFonts w:ascii="Calibri" w:hAnsi="Calibri" w:cs="Calibri"/>
          <w:bCs/>
          <w:color w:val="7F7F7F" w:themeColor="text1" w:themeTint="80"/>
          <w:sz w:val="26"/>
          <w:szCs w:val="26"/>
        </w:rPr>
      </w:pPr>
    </w:p>
    <w:p w:rsidR="00BC00C3" w:rsidRDefault="00BC00C3" w:rsidP="00BC00C3">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BC00C3" w:rsidRDefault="00BC00C3" w:rsidP="00BC00C3">
      <w:pPr>
        <w:jc w:val="both"/>
        <w:rPr>
          <w:rFonts w:asciiTheme="minorHAnsi" w:hAnsiTheme="minorHAnsi" w:cs="Calibri"/>
          <w:bCs/>
          <w:color w:val="7F7F7F" w:themeColor="text1" w:themeTint="80"/>
          <w:sz w:val="26"/>
          <w:szCs w:val="26"/>
        </w:rPr>
      </w:pPr>
    </w:p>
    <w:p w:rsidR="00BC00C3" w:rsidRDefault="00BC00C3" w:rsidP="00BC00C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BC00C3" w:rsidRDefault="00BC00C3" w:rsidP="00BC00C3">
      <w:pPr>
        <w:ind w:firstLine="708"/>
        <w:jc w:val="both"/>
        <w:rPr>
          <w:rFonts w:ascii="Calibri" w:hAnsi="Calibri" w:cs="Calibri"/>
          <w:bCs/>
          <w:color w:val="7F7F7F" w:themeColor="text1" w:themeTint="80"/>
          <w:sz w:val="26"/>
          <w:szCs w:val="26"/>
        </w:rPr>
      </w:pPr>
    </w:p>
    <w:p w:rsidR="00BC00C3" w:rsidRDefault="00BC00C3" w:rsidP="00BC00C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p>
    <w:p w:rsidR="00BC00C3" w:rsidRDefault="00BC00C3" w:rsidP="00BC00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0302/2do JAM/2017-JN</w:t>
      </w:r>
    </w:p>
    <w:p w:rsidR="00BC00C3" w:rsidRDefault="00BC00C3" w:rsidP="00BC00C3">
      <w:pPr>
        <w:ind w:firstLine="708"/>
        <w:jc w:val="both"/>
        <w:rPr>
          <w:rFonts w:ascii="Calibri" w:hAnsi="Calibri" w:cs="Calibri"/>
          <w:bCs/>
          <w:color w:val="7F7F7F" w:themeColor="text1" w:themeTint="80"/>
          <w:sz w:val="26"/>
          <w:szCs w:val="26"/>
        </w:rPr>
      </w:pPr>
    </w:p>
    <w:p w:rsidR="00BC00C3" w:rsidRDefault="00BC00C3" w:rsidP="00BC00C3">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acta de infracción número </w:t>
      </w:r>
      <w:r>
        <w:rPr>
          <w:rFonts w:ascii="Calibri" w:hAnsi="Calibri" w:cs="Calibri"/>
          <w:color w:val="7F7F7F" w:themeColor="text1" w:themeTint="80"/>
          <w:sz w:val="26"/>
          <w:szCs w:val="26"/>
        </w:rPr>
        <w:t>360758 (tres-seis-cero-siete-cinco-ocho), de fecha 17 diecisiete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BC00C3" w:rsidRDefault="00BC00C3" w:rsidP="00BC00C3">
      <w:pPr>
        <w:jc w:val="both"/>
        <w:rPr>
          <w:rFonts w:ascii="Calibri" w:hAnsi="Calibri" w:cs="Calibri"/>
          <w:bCs/>
          <w:color w:val="7F7F7F" w:themeColor="text1" w:themeTint="80"/>
          <w:sz w:val="20"/>
          <w:szCs w:val="20"/>
        </w:rPr>
      </w:pPr>
    </w:p>
    <w:p w:rsidR="00BC00C3" w:rsidRDefault="00BC00C3" w:rsidP="00BC00C3">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BC00C3" w:rsidRDefault="00BC00C3" w:rsidP="00BC00C3">
      <w:pPr>
        <w:jc w:val="both"/>
        <w:rPr>
          <w:rFonts w:ascii="Calibri" w:hAnsi="Calibri" w:cs="Calibri"/>
          <w:color w:val="7F7F7F" w:themeColor="text1" w:themeTint="80"/>
          <w:sz w:val="20"/>
          <w:szCs w:val="20"/>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360758 (tres-seis-cero-siete-cinco-ocho)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17 </w:t>
      </w:r>
      <w:r>
        <w:rPr>
          <w:rFonts w:ascii="Calibri" w:hAnsi="Calibri" w:cs="Calibri"/>
          <w:color w:val="7F7F7F" w:themeColor="text1" w:themeTint="80"/>
          <w:sz w:val="26"/>
          <w:szCs w:val="26"/>
        </w:rPr>
        <w:t>diecisiete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w:t>
      </w:r>
    </w:p>
    <w:p w:rsidR="00BC00C3" w:rsidRDefault="00BC00C3" w:rsidP="00BC00C3">
      <w:pPr>
        <w:ind w:firstLine="708"/>
        <w:jc w:val="both"/>
        <w:rPr>
          <w:rFonts w:ascii="Calibri" w:hAnsi="Calibri" w:cs="Calibri"/>
          <w:color w:val="7F7F7F" w:themeColor="text1" w:themeTint="80"/>
          <w:sz w:val="20"/>
          <w:szCs w:val="20"/>
        </w:rPr>
      </w:pPr>
    </w:p>
    <w:p w:rsidR="00BC00C3" w:rsidRDefault="00BC00C3" w:rsidP="00BC00C3">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primer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BC00C3" w:rsidRDefault="00BC00C3" w:rsidP="00BC00C3">
      <w:pPr>
        <w:pStyle w:val="Textoindependiente"/>
        <w:rPr>
          <w:rFonts w:ascii="Calibri" w:hAnsi="Calibri" w:cs="Arial"/>
          <w:color w:val="7F7F7F" w:themeColor="text1" w:themeTint="80"/>
          <w:sz w:val="20"/>
          <w:szCs w:val="27"/>
          <w:lang w:val="es-ES"/>
        </w:rPr>
      </w:pPr>
    </w:p>
    <w:p w:rsidR="00BC00C3" w:rsidRDefault="00BC00C3" w:rsidP="00BC00C3">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BC00C3" w:rsidRDefault="00BC00C3" w:rsidP="00BC00C3">
      <w:pPr>
        <w:pStyle w:val="Textoindependiente"/>
        <w:ind w:firstLine="708"/>
        <w:rPr>
          <w:rFonts w:ascii="Calibri" w:hAnsi="Calibri"/>
          <w:b/>
          <w:bCs/>
          <w:i/>
          <w:iCs/>
          <w:color w:val="7F7F7F" w:themeColor="text1" w:themeTint="80"/>
          <w:sz w:val="20"/>
          <w:szCs w:val="20"/>
        </w:rPr>
      </w:pPr>
    </w:p>
    <w:p w:rsidR="00BC00C3" w:rsidRDefault="00BC00C3" w:rsidP="00BC00C3">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lastRenderedPageBreak/>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BC00C3" w:rsidRDefault="00BC00C3" w:rsidP="00BC00C3">
      <w:pPr>
        <w:pStyle w:val="Textoindependiente"/>
        <w:rPr>
          <w:rFonts w:ascii="Calibri" w:hAnsi="Calibri"/>
          <w:b/>
          <w:i/>
          <w:color w:val="7F7F7F" w:themeColor="text1" w:themeTint="80"/>
          <w:sz w:val="20"/>
          <w:szCs w:val="20"/>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BC00C3" w:rsidRDefault="00BC00C3" w:rsidP="00BC00C3">
      <w:pPr>
        <w:ind w:firstLine="708"/>
        <w:jc w:val="both"/>
        <w:rPr>
          <w:rFonts w:ascii="Calibri" w:hAnsi="Calibri"/>
          <w:color w:val="767171" w:themeColor="background2" w:themeShade="80"/>
          <w:sz w:val="20"/>
          <w:szCs w:val="20"/>
        </w:rPr>
      </w:pPr>
    </w:p>
    <w:p w:rsidR="00BC00C3" w:rsidRDefault="00BC00C3" w:rsidP="00BC00C3">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BC00C3" w:rsidRDefault="00BC00C3" w:rsidP="00BC00C3">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BC00C3" w:rsidRDefault="00BC00C3" w:rsidP="00BC00C3">
      <w:pPr>
        <w:pStyle w:val="Textoindependiente"/>
        <w:rPr>
          <w:rFonts w:ascii="Calibri" w:hAnsi="Calibri" w:cs="Calibri"/>
          <w:color w:val="7F7F7F" w:themeColor="text1" w:themeTint="80"/>
          <w:sz w:val="20"/>
          <w:szCs w:val="20"/>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BC00C3" w:rsidRDefault="00BC00C3" w:rsidP="00BC00C3">
      <w:pPr>
        <w:pStyle w:val="Textoindependiente"/>
        <w:ind w:firstLine="708"/>
        <w:rPr>
          <w:rFonts w:ascii="Calibri" w:hAnsi="Calibri" w:cs="Calibri"/>
          <w:bCs/>
          <w:iCs/>
          <w:color w:val="7F7F7F" w:themeColor="text1" w:themeTint="80"/>
          <w:sz w:val="20"/>
          <w:szCs w:val="20"/>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360758 (tres-seis-cero-siete-cinco-ocho)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17 </w:t>
      </w:r>
      <w:r>
        <w:rPr>
          <w:rFonts w:ascii="Calibri" w:hAnsi="Calibri" w:cs="Calibri"/>
          <w:color w:val="7F7F7F" w:themeColor="text1" w:themeTint="80"/>
          <w:sz w:val="26"/>
          <w:szCs w:val="26"/>
        </w:rPr>
        <w:t>diecisiete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w:t>
      </w:r>
      <w:r>
        <w:rPr>
          <w:rFonts w:ascii="Calibri" w:hAnsi="Calibri" w:cs="Calibri"/>
          <w:color w:val="7F7F7F" w:themeColor="text1" w:themeTint="80"/>
          <w:sz w:val="26"/>
          <w:szCs w:val="26"/>
        </w:rPr>
        <w:lastRenderedPageBreak/>
        <w:t xml:space="preserve">mil diecisiete; ello en base a las consideraciones lógicas y jurídicas expresadas en el Considerando Séptimo de esta sentencia. . . . . . . . . . . . . . . . . . . . </w:t>
      </w:r>
    </w:p>
    <w:p w:rsidR="00BC00C3" w:rsidRDefault="00BC00C3" w:rsidP="00BC00C3">
      <w:pPr>
        <w:pStyle w:val="Textoindependiente"/>
        <w:rPr>
          <w:rFonts w:ascii="Calibri" w:hAnsi="Calibri" w:cs="Calibri"/>
          <w:b/>
          <w:bCs/>
          <w:i/>
          <w:iCs/>
          <w:color w:val="7F7F7F" w:themeColor="text1" w:themeTint="80"/>
          <w:sz w:val="20"/>
          <w:szCs w:val="20"/>
          <w:lang w:val="es-ES"/>
        </w:rPr>
      </w:pPr>
    </w:p>
    <w:p w:rsidR="00BC00C3" w:rsidRDefault="00BC00C3" w:rsidP="00BC00C3">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 </w:t>
      </w:r>
    </w:p>
    <w:p w:rsidR="00BC00C3" w:rsidRDefault="00BC00C3" w:rsidP="00BC00C3">
      <w:pPr>
        <w:jc w:val="both"/>
        <w:rPr>
          <w:rFonts w:ascii="Calibri" w:hAnsi="Calibri" w:cs="Calibri"/>
          <w:color w:val="7F7F7F" w:themeColor="text1" w:themeTint="80"/>
          <w:sz w:val="20"/>
          <w:szCs w:val="20"/>
        </w:rPr>
      </w:pPr>
    </w:p>
    <w:p w:rsidR="00BC00C3" w:rsidRDefault="00BC00C3" w:rsidP="00BC00C3">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BC00C3" w:rsidRDefault="00BC00C3" w:rsidP="00BC00C3">
      <w:pPr>
        <w:pStyle w:val="Textoindependiente"/>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0302/2do JAM/2017-JN</w:t>
      </w: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C00C3" w:rsidRDefault="00BC00C3" w:rsidP="00BC00C3">
      <w:pPr>
        <w:pStyle w:val="Textoindependiente"/>
        <w:rPr>
          <w:rFonts w:ascii="Calibri" w:hAnsi="Calibri" w:cs="Calibri"/>
          <w:color w:val="7F7F7F" w:themeColor="text1" w:themeTint="80"/>
          <w:sz w:val="20"/>
          <w:szCs w:val="20"/>
        </w:rPr>
      </w:pPr>
    </w:p>
    <w:p w:rsidR="00BC00C3" w:rsidRDefault="00BC00C3" w:rsidP="00BC00C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BC00C3" w:rsidRDefault="00BC00C3" w:rsidP="00BC00C3">
      <w:pPr>
        <w:pStyle w:val="Textoindependiente"/>
        <w:ind w:firstLine="708"/>
        <w:rPr>
          <w:rFonts w:ascii="Calibri" w:hAnsi="Calibri" w:cs="Calibri"/>
          <w:color w:val="7F7F7F" w:themeColor="text1" w:themeTint="80"/>
          <w:sz w:val="26"/>
          <w:szCs w:val="26"/>
        </w:rPr>
      </w:pPr>
      <w:bookmarkStart w:id="0" w:name="_GoBack"/>
      <w:bookmarkEnd w:id="0"/>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color w:val="7F7F7F" w:themeColor="text1" w:themeTint="80"/>
          <w:sz w:val="26"/>
          <w:szCs w:val="26"/>
        </w:rPr>
      </w:pPr>
    </w:p>
    <w:p w:rsidR="00BC00C3" w:rsidRDefault="00BC00C3" w:rsidP="00BC00C3">
      <w:pPr>
        <w:pStyle w:val="Textoindependiente"/>
        <w:ind w:firstLine="708"/>
        <w:rPr>
          <w:rFonts w:ascii="Calibri" w:hAnsi="Calibri" w:cs="Calibri"/>
          <w:b/>
          <w:color w:val="7F7F7F" w:themeColor="text1" w:themeTint="80"/>
        </w:rPr>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0302/2do JAM/2017-JN. . . . . . . . . . .  </w:t>
      </w:r>
    </w:p>
    <w:p w:rsidR="004F58FC" w:rsidRPr="00BC00C3" w:rsidRDefault="004F58FC">
      <w:pPr>
        <w:rPr>
          <w:lang w:val="es-MX"/>
        </w:rPr>
      </w:pPr>
    </w:p>
    <w:sectPr w:rsidR="004F58FC" w:rsidRPr="00BC00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C3"/>
    <w:rsid w:val="004F58FC"/>
    <w:rsid w:val="00BC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CA90-EAC9-4930-81F3-2089B36F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C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C00C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00C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C00C3"/>
    <w:pPr>
      <w:jc w:val="both"/>
    </w:pPr>
    <w:rPr>
      <w:lang w:val="es-MX"/>
    </w:rPr>
  </w:style>
  <w:style w:type="character" w:customStyle="1" w:styleId="TextoindependienteCar">
    <w:name w:val="Texto independiente Car"/>
    <w:basedOn w:val="Fuentedeprrafopredeter"/>
    <w:link w:val="Textoindependiente"/>
    <w:rsid w:val="00BC00C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C00C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C00C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3265</Words>
  <Characters>17962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2017-08-31T14:56:00Z</dcterms:created>
  <dcterms:modified xsi:type="dcterms:W3CDTF">2017-08-31T14:57:00Z</dcterms:modified>
</cp:coreProperties>
</file>